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100" w:type="dxa"/>
        <w:gridCol w:w="4669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Plan antifraude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Plan de Igualdad</w:t>
            </w:r>
          </w:p>
        </w:tc>
        <w:tc>
          <w:tcPr>
            <w:tcW w:w="466900" w:type="pct"/>
          </w:tcPr>
          <w:p>
            <w:pPr/>
          </w:p>
        </w:tc>
      </w:tr>
      <w:tr>
        <w:trPr/>
        <w:tc>
          <w:tcPr>
            <w:tcW w:w="33100" w:type="pct"/>
          </w:tcPr>
          <w:p>
            <w:pPr/>
            <w:r>
              <w:rPr/>
              <w:t xml:space="preserve">Reglamento de sistema interno de información de la Ley 2/2023</w:t>
            </w:r>
          </w:p>
        </w:tc>
        <w:tc>
          <w:tcPr>
            <w:tcW w:w="466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2026-05-05T23:50:06+00:00</dcterms:created>
  <dcterms:modified xsi:type="dcterms:W3CDTF">2026-05-05T23:50:06+00:00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