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r>
        <w:rPr/>
        <w:t xml:space="preserve">Al objeto de dar cumplimiento a la obligación de publicidad activa de la Ley 19/2013, de 9 de diciembre, de transparencia, acceso a la información pública y buen gobierno sobre “Ias resoluciones de autorización para el ejercicio de actividad privada al cese de los altos cargos", el Puerto de Alicante pone en conocimiento de la ciudadanía del municipio y del público en general que </w:t>
      </w:r>
      <w:r>
        <w:rPr>
          <w:b w:val="1"/>
          <w:bCs w:val="1"/>
        </w:rPr>
        <w:t xml:space="preserve">hasta la fecha, 13/03/2026 no existe información al respecto al no haber tenido lugar ninguna resolución de este tipo.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2026-06-20T03:23:45+00:00</dcterms:created>
  <dcterms:modified xsi:type="dcterms:W3CDTF">2026-06-20T03:23:45+00:00</dcterms:modified>
</cp:coreProperties>
</file>

<file path=docProps/custom.xml><?xml version="1.0" encoding="utf-8"?>
<Properties xmlns="http://schemas.openxmlformats.org/officeDocument/2006/custom-properties" xmlns:vt="http://schemas.openxmlformats.org/officeDocument/2006/docPropsVTypes"/>
</file>