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/>
        <w:t xml:space="preserve">Al objeto de dar cumplimiento a la obligación de publicidad activa de la Ley 19/2013, de 9 de diciembre, de transparencia, acceso a la información pública y buen gobierno sobre “Indemnizaciones percibidas por Altos Cargos con ocasión del abandono del cargo", el Puerto de Alicante pone en conocimiento de la ciudadanía que </w:t>
      </w:r>
      <w:r>
        <w:rPr>
          <w:b w:val="1"/>
          <w:bCs w:val="1"/>
        </w:rPr>
        <w:t xml:space="preserve">hasta la fecha, 13/03/2026 no existe información al respecto al no haber tenido lugar ninguna indemnización de este tipo.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2026-06-20T03:24:48+00:00</dcterms:created>
  <dcterms:modified xsi:type="dcterms:W3CDTF">2026-06-20T03:24:48+00:00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