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>
          <w:b w:val="1"/>
          <w:bCs w:val="1"/>
        </w:rPr>
        <w:t xml:space="preserve">Datos Absentismo 2025</w:t>
      </w:r>
    </w:p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blPr>
        <w:tblW w:w="600" w:type="pct"/>
        <w:tblLayout w:type="autofit"/>
        <w:bidiVisual w:val="0"/>
      </w:tblPr>
      <w:tr>
        <w:trPr>
          <w:tblHeader w:val="1"/>
        </w:trPr>
        <w:tc>
          <w:tcPr>
            <w:tcW w:w="6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  <w:gridSpan w:val="2"/>
          </w:tcPr>
          <w:p>
            <w:pPr/>
            <w:r>
              <w:rPr/>
              <w:t xml:space="preserve">CP</w:t>
            </w:r>
          </w:p>
        </w:tc>
        <w:tc>
          <w:tcPr>
            <w:tcW w:w="600" w:type="pct"/>
            <w:gridSpan w:val="2"/>
          </w:tcPr>
          <w:p>
            <w:pPr/>
            <w:r>
              <w:rPr/>
              <w:t xml:space="preserve">CC</w:t>
            </w:r>
          </w:p>
        </w:tc>
      </w:tr>
      <w:tr>
        <w:trPr>
          <w:tblHeader w:val="1"/>
        </w:trPr>
        <w:tc>
          <w:tcPr>
            <w:tcW w:w="60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Datos Empresa</w:t>
            </w:r>
          </w:p>
        </w:tc>
        <w:tc>
          <w:tcPr>
            <w:tcW w:w="600" w:type="pct"/>
          </w:tcPr>
          <w:p>
            <w:pPr/>
            <w:r>
              <w:rPr/>
              <w:t xml:space="preserve">Datos Mercado</w:t>
            </w:r>
          </w:p>
        </w:tc>
        <w:tc>
          <w:tcPr>
            <w:tcW w:w="600" w:type="pct"/>
          </w:tcPr>
          <w:p>
            <w:pPr/>
            <w:r>
              <w:rPr/>
              <w:t xml:space="preserve">Datos Empresa</w:t>
            </w:r>
          </w:p>
        </w:tc>
        <w:tc>
          <w:tcPr>
            <w:tcW w:w="600" w:type="pct"/>
          </w:tcPr>
          <w:p>
            <w:pPr/>
            <w:r>
              <w:rPr/>
              <w:t xml:space="preserve">Datos Mercado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Indice Absentismo</w:t>
            </w:r>
          </w:p>
        </w:tc>
        <w:tc>
          <w:tcPr>
            <w:tcW w:w="600" w:type="pct"/>
          </w:tcPr>
          <w:p>
            <w:pPr/>
            <w:r>
              <w:rPr/>
              <w:t xml:space="preserve">0,06</w:t>
            </w:r>
          </w:p>
        </w:tc>
        <w:tc>
          <w:tcPr>
            <w:tcW w:w="600" w:type="pct"/>
          </w:tcPr>
          <w:p>
            <w:pPr/>
            <w:r>
              <w:rPr/>
              <w:t xml:space="preserve">0,92</w:t>
            </w:r>
          </w:p>
        </w:tc>
        <w:tc>
          <w:tcPr>
            <w:tcW w:w="600" w:type="pct"/>
          </w:tcPr>
          <w:p>
            <w:pPr/>
            <w:r>
              <w:rPr/>
              <w:t xml:space="preserve">3,59</w:t>
            </w:r>
          </w:p>
        </w:tc>
        <w:tc>
          <w:tcPr>
            <w:tcW w:w="600" w:type="pct"/>
          </w:tcPr>
          <w:p>
            <w:pPr/>
            <w:r>
              <w:rPr/>
              <w:t xml:space="preserve">6,24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Duración Media</w:t>
            </w:r>
          </w:p>
        </w:tc>
        <w:tc>
          <w:tcPr>
            <w:tcW w:w="600" w:type="pct"/>
          </w:tcPr>
          <w:p>
            <w:pPr/>
            <w:r>
              <w:rPr/>
              <w:t xml:space="preserve">23</w:t>
            </w:r>
          </w:p>
        </w:tc>
        <w:tc>
          <w:tcPr>
            <w:tcW w:w="600" w:type="pct"/>
          </w:tcPr>
          <w:p>
            <w:pPr/>
            <w:r>
              <w:rPr/>
              <w:t xml:space="preserve">38,23</w:t>
            </w:r>
          </w:p>
        </w:tc>
        <w:tc>
          <w:tcPr>
            <w:tcW w:w="600" w:type="pct"/>
          </w:tcPr>
          <w:p>
            <w:pPr/>
            <w:r>
              <w:rPr/>
              <w:t xml:space="preserve">29,38</w:t>
            </w:r>
          </w:p>
        </w:tc>
        <w:tc>
          <w:tcPr>
            <w:tcW w:w="600" w:type="pct"/>
          </w:tcPr>
          <w:p>
            <w:pPr/>
            <w:r>
              <w:rPr/>
              <w:t xml:space="preserve">34,85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Índice de Prevalencia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1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6,23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Índice de Incidencia</w:t>
            </w:r>
          </w:p>
        </w:tc>
        <w:tc>
          <w:tcPr>
            <w:tcW w:w="600" w:type="pct"/>
          </w:tcPr>
          <w:p>
            <w:pPr/>
            <w:r>
              <w:rPr/>
              <w:t xml:space="preserve">0,91</w:t>
            </w:r>
          </w:p>
        </w:tc>
        <w:tc>
          <w:tcPr>
            <w:tcW w:w="600" w:type="pct"/>
          </w:tcPr>
          <w:p>
            <w:pPr/>
            <w:r>
              <w:rPr/>
              <w:t xml:space="preserve">8,24</w:t>
            </w:r>
          </w:p>
        </w:tc>
        <w:tc>
          <w:tcPr>
            <w:tcW w:w="600" w:type="pct"/>
          </w:tcPr>
          <w:p>
            <w:pPr/>
            <w:r>
              <w:rPr/>
              <w:t xml:space="preserve">50,91</w:t>
            </w:r>
          </w:p>
        </w:tc>
        <w:tc>
          <w:tcPr>
            <w:tcW w:w="600" w:type="pct"/>
          </w:tcPr>
          <w:p>
            <w:pPr/>
            <w:r>
              <w:rPr/>
              <w:t xml:space="preserve">63,16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Nº Bajas</w:t>
            </w:r>
          </w:p>
        </w:tc>
        <w:tc>
          <w:tcPr>
            <w:tcW w:w="600" w:type="pct"/>
          </w:tcPr>
          <w:p>
            <w:pPr/>
            <w:r>
              <w:rPr/>
              <w:t xml:space="preserve">Totales</w:t>
            </w:r>
          </w:p>
        </w:tc>
        <w:tc>
          <w:tcPr>
            <w:tcW w:w="600" w:type="pct"/>
          </w:tcPr>
          <w:p>
            <w:pPr/>
            <w:r>
              <w:rPr/>
              <w:t xml:space="preserve">1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61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Iniciadas ej.</w:t>
            </w:r>
          </w:p>
        </w:tc>
        <w:tc>
          <w:tcPr>
            <w:tcW w:w="600" w:type="pct"/>
          </w:tcPr>
          <w:p>
            <w:pPr/>
            <w:r>
              <w:rPr/>
              <w:t xml:space="preserve">1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56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Días de Baja</w:t>
            </w:r>
          </w:p>
        </w:tc>
        <w:tc>
          <w:tcPr>
            <w:tcW w:w="600" w:type="pct"/>
          </w:tcPr>
          <w:p>
            <w:pPr/>
            <w:r>
              <w:rPr/>
              <w:t xml:space="preserve">23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1596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Dias de Baja (Sin IT Directa)</w:t>
            </w:r>
          </w:p>
        </w:tc>
        <w:tc>
          <w:tcPr>
            <w:tcW w:w="600" w:type="pct"/>
          </w:tcPr>
          <w:p>
            <w:pPr/>
            <w:r>
              <w:rPr/>
              <w:t xml:space="preserve">23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1433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Media diaria trabajadores de Baja</w:t>
            </w:r>
          </w:p>
        </w:tc>
        <w:tc>
          <w:tcPr>
            <w:tcW w:w="600" w:type="pct"/>
          </w:tcPr>
          <w:p>
            <w:pPr/>
            <w:r>
              <w:rPr/>
              <w:t xml:space="preserve">0,06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3,93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Tran. Pendientes de alta (últ. dia estudio)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  <w:tc>
          <w:tcPr>
            <w:tcW w:w="600" w:type="pct"/>
          </w:tcPr>
          <w:p>
            <w:pPr/>
            <w:r>
              <w:rPr/>
              <w:t xml:space="preserve">3,93</w:t>
            </w:r>
          </w:p>
        </w:tc>
        <w:tc>
          <w:tcPr>
            <w:tcW w:w="6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Grado lesión (casos iniciados)</w:t>
            </w:r>
          </w:p>
        </w:tc>
        <w:tc>
          <w:tcPr>
            <w:tcW w:w="600" w:type="pct"/>
          </w:tcPr>
          <w:p>
            <w:pPr/>
            <w:r>
              <w:rPr/>
              <w:t xml:space="preserve">Leve</w:t>
            </w:r>
          </w:p>
        </w:tc>
        <w:tc>
          <w:tcPr>
            <w:tcW w:w="600" w:type="pct"/>
          </w:tcPr>
          <w:p>
            <w:pPr/>
            <w:r>
              <w:rPr/>
              <w:t xml:space="preserve">Grave</w:t>
            </w:r>
          </w:p>
        </w:tc>
        <w:tc>
          <w:tcPr>
            <w:tcW w:w="600" w:type="pct"/>
          </w:tcPr>
          <w:p>
            <w:pPr/>
            <w:r>
              <w:rPr/>
              <w:t xml:space="preserve">Leve</w:t>
            </w:r>
          </w:p>
        </w:tc>
        <w:tc>
          <w:tcPr>
            <w:tcW w:w="600" w:type="pct"/>
          </w:tcPr>
          <w:p>
            <w:pPr/>
            <w:r>
              <w:rPr/>
              <w:t xml:space="preserve">Grave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1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56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Muy Grave</w:t>
            </w:r>
          </w:p>
        </w:tc>
        <w:tc>
          <w:tcPr>
            <w:tcW w:w="600" w:type="pct"/>
          </w:tcPr>
          <w:p>
            <w:pPr/>
            <w:r>
              <w:rPr/>
              <w:t xml:space="preserve">Fallec.</w:t>
            </w:r>
          </w:p>
        </w:tc>
        <w:tc>
          <w:tcPr>
            <w:tcW w:w="600" w:type="pct"/>
          </w:tcPr>
          <w:p>
            <w:pPr/>
            <w:r>
              <w:rPr/>
              <w:t xml:space="preserve">Muy grave</w:t>
            </w:r>
          </w:p>
        </w:tc>
        <w:tc>
          <w:tcPr>
            <w:tcW w:w="600" w:type="pct"/>
          </w:tcPr>
          <w:p>
            <w:pPr/>
            <w:r>
              <w:rPr/>
              <w:t xml:space="preserve">Fallec.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600" w:type="pct"/>
            <w:gridSpan w:val="2"/>
          </w:tcPr>
          <w:p>
            <w:pPr/>
            <w:r>
              <w:rPr/>
              <w:t xml:space="preserve">Nº Accidentes sin baja</w:t>
            </w:r>
          </w:p>
        </w:tc>
        <w:tc>
          <w:tcPr>
            <w:tcW w:w="600" w:type="pct"/>
          </w:tcPr>
          <w:p>
            <w:pPr/>
            <w:r>
              <w:rPr/>
              <w:t xml:space="preserve">1</w:t>
            </w:r>
          </w:p>
        </w:tc>
        <w:tc>
          <w:tcPr>
            <w:tcW w:w="600" w:type="pct"/>
            <w:gridSpan w:val="3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Riesgo Embarazo</w:t>
            </w:r>
          </w:p>
        </w:tc>
        <w:tc>
          <w:tcPr>
            <w:tcW w:w="600" w:type="pct"/>
          </w:tcPr>
          <w:p>
            <w:pPr/>
            <w:r>
              <w:rPr/>
              <w:t xml:space="preserve">Casos iniciados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  <w:gridSpan w:val="3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Dias baja transcurridos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  <w:gridSpan w:val="3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Cuidado menores</w:t>
            </w:r>
          </w:p>
        </w:tc>
        <w:tc>
          <w:tcPr>
            <w:tcW w:w="600" w:type="pct"/>
          </w:tcPr>
          <w:p>
            <w:pPr/>
            <w:r>
              <w:rPr/>
              <w:t xml:space="preserve">Casos iniciados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  <w:gridSpan w:val="3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600" w:type="pct"/>
          </w:tcPr>
          <w:p>
            <w:pPr/>
            <w:r>
              <w:rPr/>
              <w:t xml:space="preserve">Dias baja transcurridos</w:t>
            </w:r>
          </w:p>
        </w:tc>
        <w:tc>
          <w:tcPr>
            <w:tcW w:w="600" w:type="pct"/>
          </w:tcPr>
          <w:p>
            <w:pPr/>
            <w:r>
              <w:rPr/>
              <w:t xml:space="preserve">0</w:t>
            </w:r>
          </w:p>
        </w:tc>
        <w:tc>
          <w:tcPr>
            <w:tcW w:w="600" w:type="pct"/>
            <w:gridSpan w:val="3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2026-06-20T03:20:16+00:00</dcterms:created>
  <dcterms:modified xsi:type="dcterms:W3CDTF">2026-06-20T03:20:16+00:00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