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10700" w:type="dxa"/>
        <w:gridCol w:w="393600" w:type="dxa"/>
      </w:tblGrid>
      <w:tblPr>
        <w:tblW w:w="7300" w:type="pct"/>
        <w:tblLayout w:type="autofit"/>
        <w:bidiVisual w:val="0"/>
      </w:tblPr>
      <w:tr>
        <w:trPr>
          <w:tblHeader w:val="1"/>
        </w:trPr>
        <w:tc>
          <w:tcPr>
            <w:tcW w:w="110700" w:type="pct"/>
          </w:tcPr>
          <w:p>
            <w:pPr>
              <w:jc w:val="center"/>
            </w:pPr>
            <w:r>
              <w:rPr>
                <w:sz w:val="24"/>
                <w:szCs w:val="24"/>
              </w:rPr>
              <w:t xml:space="preserve">Ejercicio</w:t>
            </w:r>
          </w:p>
        </w:tc>
        <w:tc>
          <w:tcPr>
            <w:tcW w:w="393600" w:type="pct"/>
          </w:tcPr>
          <w:p>
            <w:pPr>
              <w:jc w:val="center"/>
            </w:pPr>
            <w:r>
              <w:rPr/>
              <w:t xml:space="preserve">Deuda</w:t>
            </w:r>
          </w:p>
        </w:tc>
      </w:tr>
      <w:tr>
        <w:trPr/>
        <w:tc>
          <w:tcPr>
            <w:tcW w:w="1107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93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107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93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107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93600" w:type="pct"/>
            <w:vAlign w:val="center"/>
          </w:tcPr>
          <w:p>
            <w:pPr>
              <w:jc w:val="center"/>
            </w:pPr>
            <w:r>
              <w:rPr/>
              <w:t xml:space="preserve">No hay endeudamiento bancario a final de 2023 en la Autoridad Portuaria de Alicante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2026-06-20T03:15:47+00:00</dcterms:created>
  <dcterms:modified xsi:type="dcterms:W3CDTF">2026-06-20T03:15:47+00:00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